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41F" w:rsidRPr="00A1293C" w:rsidRDefault="00DC5027" w:rsidP="00BC641F">
      <w:pPr>
        <w:kinsoku w:val="0"/>
        <w:overflowPunct w:val="0"/>
        <w:jc w:val="center"/>
        <w:textAlignment w:val="baseline"/>
        <w:rPr>
          <w:rFonts w:eastAsiaTheme="minorEastAsia" w:hAnsi="Verdana"/>
          <w:b/>
          <w:color w:val="000000" w:themeColor="text1"/>
          <w:sz w:val="28"/>
          <w:szCs w:val="28"/>
          <w:u w:val="single"/>
        </w:rPr>
      </w:pPr>
      <w:r w:rsidRPr="00A1293C">
        <w:rPr>
          <w:rFonts w:eastAsiaTheme="minorEastAsia" w:hAnsi="Verdana"/>
          <w:b/>
          <w:color w:val="000000" w:themeColor="text1"/>
          <w:sz w:val="28"/>
          <w:szCs w:val="28"/>
          <w:u w:val="single"/>
        </w:rPr>
        <w:t>OH</w:t>
      </w:r>
      <w:r w:rsidR="00A1293C" w:rsidRPr="00A1293C">
        <w:rPr>
          <w:rFonts w:eastAsiaTheme="minorEastAsia" w:hAnsi="Verdana"/>
          <w:b/>
          <w:color w:val="000000" w:themeColor="text1"/>
          <w:sz w:val="28"/>
          <w:szCs w:val="28"/>
          <w:u w:val="single"/>
        </w:rPr>
        <w:t>-</w:t>
      </w:r>
      <w:r w:rsidRPr="00A1293C">
        <w:rPr>
          <w:rFonts w:eastAsiaTheme="minorEastAsia" w:hAnsi="Verdana"/>
          <w:b/>
          <w:color w:val="000000" w:themeColor="text1"/>
          <w:sz w:val="28"/>
          <w:szCs w:val="28"/>
          <w:u w:val="single"/>
        </w:rPr>
        <w:t xml:space="preserve">30 </w:t>
      </w:r>
      <w:r w:rsidR="00BC641F" w:rsidRPr="00A1293C">
        <w:rPr>
          <w:rFonts w:eastAsiaTheme="minorEastAsia" w:hAnsi="Verdana"/>
          <w:b/>
          <w:color w:val="000000" w:themeColor="text1"/>
          <w:sz w:val="28"/>
          <w:szCs w:val="28"/>
          <w:u w:val="single"/>
        </w:rPr>
        <w:t>CFIS Desk-Aid</w:t>
      </w:r>
    </w:p>
    <w:p w:rsidR="00BC641F" w:rsidRPr="00A1293C" w:rsidRDefault="00BC641F" w:rsidP="00BC641F">
      <w:pPr>
        <w:kinsoku w:val="0"/>
        <w:overflowPunct w:val="0"/>
        <w:textAlignment w:val="baseline"/>
        <w:rPr>
          <w:rFonts w:eastAsia="Times New Roman" w:hAnsi="Times New Roman"/>
          <w:b/>
          <w:color w:val="FFBF0F"/>
          <w:sz w:val="24"/>
          <w:szCs w:val="24"/>
        </w:rPr>
      </w:pPr>
      <w:r w:rsidRPr="00A1293C">
        <w:rPr>
          <w:rFonts w:eastAsiaTheme="minorEastAsia" w:hAnsi="Verdana"/>
          <w:b/>
          <w:color w:val="000000" w:themeColor="text1"/>
          <w:sz w:val="24"/>
          <w:szCs w:val="24"/>
        </w:rPr>
        <w:t xml:space="preserve">County fiscal agents must enter OH-30 Costs of Services, including accruals and obligations </w:t>
      </w:r>
      <w:r w:rsidR="00A1293C" w:rsidRPr="00A1293C">
        <w:rPr>
          <w:rFonts w:eastAsiaTheme="minorEastAsia" w:hAnsi="Verdana"/>
          <w:b/>
          <w:color w:val="000000" w:themeColor="text1"/>
          <w:sz w:val="24"/>
          <w:szCs w:val="24"/>
        </w:rPr>
        <w:t>every two weeks in CFIS.</w:t>
      </w:r>
    </w:p>
    <w:p w:rsidR="00087084" w:rsidRPr="00163995" w:rsidRDefault="00163995" w:rsidP="00BC641F">
      <w:pPr>
        <w:pStyle w:val="ListParagraph"/>
        <w:numPr>
          <w:ilvl w:val="0"/>
          <w:numId w:val="3"/>
        </w:numPr>
        <w:kinsoku w:val="0"/>
        <w:overflowPunct w:val="0"/>
        <w:textAlignment w:val="baseline"/>
        <w:rPr>
          <w:color w:val="FFBF0F"/>
        </w:rPr>
      </w:pPr>
      <w:r>
        <w:rPr>
          <w:rFonts w:eastAsiaTheme="minorEastAsia" w:hAnsi="Verdana"/>
          <w:color w:val="000000" w:themeColor="text1"/>
        </w:rPr>
        <w:t>C</w:t>
      </w:r>
      <w:r w:rsidR="00BC641F" w:rsidRPr="00163995">
        <w:rPr>
          <w:rFonts w:eastAsiaTheme="minorEastAsia" w:hAnsi="Verdana"/>
          <w:color w:val="000000" w:themeColor="text1"/>
        </w:rPr>
        <w:t>osts</w:t>
      </w:r>
      <w:r w:rsidR="00DC5027" w:rsidRPr="00163995">
        <w:rPr>
          <w:rFonts w:eastAsiaTheme="minorEastAsia" w:hAnsi="Verdana"/>
          <w:color w:val="000000" w:themeColor="text1"/>
        </w:rPr>
        <w:t xml:space="preserve"> from </w:t>
      </w:r>
      <w:r w:rsidR="00DC5027" w:rsidRPr="00163995">
        <w:rPr>
          <w:rFonts w:eastAsiaTheme="minorEastAsia" w:hAnsi="Verdana"/>
          <w:color w:val="000000" w:themeColor="text1"/>
          <w:u w:val="single"/>
        </w:rPr>
        <w:t>1st to 15th</w:t>
      </w:r>
      <w:r w:rsidR="00DC5027" w:rsidRPr="00163995">
        <w:rPr>
          <w:rFonts w:eastAsiaTheme="minorEastAsia" w:hAnsi="Verdana"/>
          <w:color w:val="000000" w:themeColor="text1"/>
        </w:rPr>
        <w:t xml:space="preserve"> </w:t>
      </w:r>
      <w:r w:rsidR="00BC641F" w:rsidRPr="00163995">
        <w:rPr>
          <w:rFonts w:eastAsiaTheme="minorEastAsia" w:hAnsi="Verdana"/>
          <w:color w:val="000000" w:themeColor="text1"/>
        </w:rPr>
        <w:t>must be entered by the</w:t>
      </w:r>
      <w:r w:rsidR="00DC5027" w:rsidRPr="00163995">
        <w:rPr>
          <w:rFonts w:eastAsiaTheme="minorEastAsia" w:hAnsi="Verdana"/>
          <w:color w:val="000000" w:themeColor="text1"/>
        </w:rPr>
        <w:t xml:space="preserve"> last day of the month into CFIS (not necessary to close out this entry)</w:t>
      </w:r>
      <w:r w:rsidR="00A1293C">
        <w:rPr>
          <w:rFonts w:eastAsiaTheme="minorEastAsia" w:hAnsi="Verdana"/>
          <w:color w:val="000000" w:themeColor="text1"/>
        </w:rPr>
        <w:t>.</w:t>
      </w:r>
    </w:p>
    <w:p w:rsidR="00012DA6" w:rsidRPr="00163995" w:rsidRDefault="00A1293C" w:rsidP="00012DA6">
      <w:pPr>
        <w:pStyle w:val="ListParagraph"/>
        <w:numPr>
          <w:ilvl w:val="0"/>
          <w:numId w:val="3"/>
        </w:numPr>
        <w:kinsoku w:val="0"/>
        <w:overflowPunct w:val="0"/>
        <w:textAlignment w:val="baseline"/>
        <w:rPr>
          <w:color w:val="FFBF0F"/>
        </w:rPr>
      </w:pPr>
      <w:r>
        <w:rPr>
          <w:rFonts w:eastAsiaTheme="minorEastAsia" w:hAnsi="Verdana"/>
          <w:color w:val="000000" w:themeColor="text1"/>
        </w:rPr>
        <w:t>C</w:t>
      </w:r>
      <w:r w:rsidR="00163995">
        <w:rPr>
          <w:rFonts w:eastAsiaTheme="minorEastAsia" w:hAnsi="Verdana"/>
          <w:color w:val="000000" w:themeColor="text1"/>
        </w:rPr>
        <w:t>osts</w:t>
      </w:r>
      <w:r w:rsidR="00DC5027" w:rsidRPr="00163995">
        <w:rPr>
          <w:rFonts w:eastAsiaTheme="minorEastAsia" w:hAnsi="Verdana"/>
          <w:color w:val="000000" w:themeColor="text1"/>
        </w:rPr>
        <w:t xml:space="preserve"> from </w:t>
      </w:r>
      <w:r w:rsidR="00BC641F" w:rsidRPr="00163995">
        <w:rPr>
          <w:rFonts w:eastAsiaTheme="minorEastAsia" w:hAnsi="Verdana"/>
          <w:color w:val="000000" w:themeColor="text1"/>
          <w:u w:val="single"/>
        </w:rPr>
        <w:t>16</w:t>
      </w:r>
      <w:r w:rsidR="00DC5027" w:rsidRPr="00163995">
        <w:rPr>
          <w:rFonts w:eastAsiaTheme="minorEastAsia" w:hAnsi="Verdana"/>
          <w:color w:val="000000" w:themeColor="text1"/>
          <w:u w:val="single"/>
        </w:rPr>
        <w:t>th</w:t>
      </w:r>
      <w:r w:rsidR="00EA6686">
        <w:rPr>
          <w:rFonts w:eastAsiaTheme="minorEastAsia" w:hAnsi="Verdana"/>
          <w:color w:val="000000" w:themeColor="text1"/>
          <w:u w:val="single"/>
        </w:rPr>
        <w:t xml:space="preserve"> to last day of month</w:t>
      </w:r>
      <w:bookmarkStart w:id="0" w:name="_GoBack"/>
      <w:bookmarkEnd w:id="0"/>
      <w:r w:rsidR="00DC5027" w:rsidRPr="00163995">
        <w:rPr>
          <w:rFonts w:eastAsiaTheme="minorEastAsia" w:hAnsi="Verdana"/>
          <w:color w:val="000000" w:themeColor="text1"/>
        </w:rPr>
        <w:t xml:space="preserve"> </w:t>
      </w:r>
      <w:r>
        <w:rPr>
          <w:rFonts w:eastAsiaTheme="minorEastAsia" w:hAnsi="Verdana"/>
          <w:color w:val="000000" w:themeColor="text1"/>
        </w:rPr>
        <w:t>must be entered by the</w:t>
      </w:r>
      <w:r w:rsidR="00DC5027" w:rsidRPr="00163995">
        <w:rPr>
          <w:rFonts w:eastAsiaTheme="minorEastAsia" w:hAnsi="Verdana"/>
          <w:color w:val="000000" w:themeColor="text1"/>
        </w:rPr>
        <w:t xml:space="preserve"> 18th of the following month</w:t>
      </w:r>
      <w:r>
        <w:rPr>
          <w:rFonts w:eastAsiaTheme="minorEastAsia" w:hAnsi="Verdana"/>
          <w:color w:val="000000" w:themeColor="text1"/>
        </w:rPr>
        <w:t>.</w:t>
      </w:r>
    </w:p>
    <w:p w:rsidR="00163995" w:rsidRPr="00A1293C" w:rsidRDefault="00163995" w:rsidP="00163995">
      <w:pPr>
        <w:pStyle w:val="ListParagraph"/>
        <w:kinsoku w:val="0"/>
        <w:overflowPunct w:val="0"/>
        <w:textAlignment w:val="baseline"/>
        <w:rPr>
          <w:b/>
          <w:color w:val="FFBF0F"/>
          <w:sz w:val="20"/>
          <w:szCs w:val="20"/>
        </w:rPr>
      </w:pPr>
    </w:p>
    <w:tbl>
      <w:tblPr>
        <w:tblW w:w="9265" w:type="dxa"/>
        <w:tblLook w:val="04A0" w:firstRow="1" w:lastRow="0" w:firstColumn="1" w:lastColumn="0" w:noHBand="0" w:noVBand="1"/>
      </w:tblPr>
      <w:tblGrid>
        <w:gridCol w:w="4405"/>
        <w:gridCol w:w="4860"/>
      </w:tblGrid>
      <w:tr w:rsidR="00163995" w:rsidRPr="00163995" w:rsidTr="00163995">
        <w:trPr>
          <w:trHeight w:val="600"/>
        </w:trPr>
        <w:tc>
          <w:tcPr>
            <w:tcW w:w="4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995" w:rsidRPr="00C07EC7" w:rsidRDefault="00163995" w:rsidP="00163995">
            <w:pPr>
              <w:spacing w:after="0" w:line="240" w:lineRule="auto"/>
              <w:jc w:val="center"/>
              <w:rPr>
                <w:rFonts w:ascii="Calibri Light" w:eastAsia="Times New Roman" w:hAnsi="Calibri Light" w:cs="Calibri Light"/>
                <w:b/>
                <w:bCs/>
                <w:color w:val="000000"/>
                <w:sz w:val="24"/>
                <w:szCs w:val="24"/>
              </w:rPr>
            </w:pPr>
            <w:r w:rsidRPr="00C07EC7">
              <w:rPr>
                <w:rFonts w:ascii="Calibri Light" w:eastAsia="Times New Roman" w:hAnsi="Calibri Light" w:cs="Calibri Light"/>
                <w:b/>
                <w:bCs/>
                <w:color w:val="000000"/>
                <w:sz w:val="24"/>
                <w:szCs w:val="24"/>
              </w:rPr>
              <w:t>When costs incurred</w:t>
            </w:r>
          </w:p>
          <w:p w:rsidR="00163995" w:rsidRPr="00163995" w:rsidRDefault="00163995" w:rsidP="00163995">
            <w:pPr>
              <w:spacing w:after="0" w:line="240" w:lineRule="auto"/>
              <w:jc w:val="center"/>
              <w:rPr>
                <w:rFonts w:ascii="Calibri Light" w:eastAsia="Times New Roman" w:hAnsi="Calibri Light" w:cs="Calibri Light"/>
                <w:b/>
                <w:bCs/>
                <w:color w:val="000000"/>
                <w:sz w:val="24"/>
                <w:szCs w:val="24"/>
              </w:rPr>
            </w:pPr>
            <w:r w:rsidRPr="00C07EC7">
              <w:rPr>
                <w:rFonts w:ascii="Calibri Light" w:eastAsia="Times New Roman" w:hAnsi="Calibri Light" w:cs="Calibri Light"/>
                <w:b/>
                <w:bCs/>
                <w:color w:val="000000"/>
                <w:sz w:val="24"/>
                <w:szCs w:val="24"/>
              </w:rPr>
              <w:t>(including a</w:t>
            </w:r>
            <w:r w:rsidRPr="00163995">
              <w:rPr>
                <w:rFonts w:ascii="Calibri Light" w:eastAsia="Times New Roman" w:hAnsi="Calibri Light" w:cs="Calibri Light"/>
                <w:b/>
                <w:bCs/>
                <w:color w:val="000000"/>
                <w:sz w:val="24"/>
                <w:szCs w:val="24"/>
              </w:rPr>
              <w:t>ccruals and obligations</w:t>
            </w:r>
            <w:r w:rsidRPr="00C07EC7">
              <w:rPr>
                <w:rFonts w:ascii="Calibri Light" w:eastAsia="Times New Roman" w:hAnsi="Calibri Light" w:cs="Calibri Light"/>
                <w:b/>
                <w:bCs/>
                <w:color w:val="000000"/>
                <w:sz w:val="24"/>
                <w:szCs w:val="24"/>
              </w:rPr>
              <w:t>)</w:t>
            </w:r>
          </w:p>
        </w:tc>
        <w:tc>
          <w:tcPr>
            <w:tcW w:w="4860" w:type="dxa"/>
            <w:tcBorders>
              <w:top w:val="single" w:sz="4" w:space="0" w:color="auto"/>
              <w:left w:val="nil"/>
              <w:bottom w:val="single" w:sz="4" w:space="0" w:color="auto"/>
              <w:right w:val="single" w:sz="4" w:space="0" w:color="auto"/>
            </w:tcBorders>
            <w:shd w:val="clear" w:color="auto" w:fill="auto"/>
            <w:noWrap/>
            <w:vAlign w:val="center"/>
            <w:hideMark/>
          </w:tcPr>
          <w:p w:rsidR="00163995" w:rsidRPr="00163995" w:rsidRDefault="00163995" w:rsidP="00163995">
            <w:pPr>
              <w:spacing w:after="0" w:line="240" w:lineRule="auto"/>
              <w:jc w:val="center"/>
              <w:rPr>
                <w:rFonts w:ascii="Calibri Light" w:eastAsia="Times New Roman" w:hAnsi="Calibri Light" w:cs="Calibri Light"/>
                <w:b/>
                <w:bCs/>
                <w:color w:val="000000"/>
                <w:sz w:val="28"/>
                <w:szCs w:val="28"/>
              </w:rPr>
            </w:pPr>
            <w:r w:rsidRPr="00A1293C">
              <w:rPr>
                <w:rFonts w:ascii="Calibri Light" w:eastAsia="Times New Roman" w:hAnsi="Calibri Light" w:cs="Calibri Light"/>
                <w:b/>
                <w:bCs/>
                <w:color w:val="000000"/>
                <w:sz w:val="28"/>
                <w:szCs w:val="28"/>
              </w:rPr>
              <w:t xml:space="preserve">When to update in </w:t>
            </w:r>
            <w:r w:rsidRPr="00163995">
              <w:rPr>
                <w:rFonts w:ascii="Calibri Light" w:eastAsia="Times New Roman" w:hAnsi="Calibri Light" w:cs="Calibri Light"/>
                <w:b/>
                <w:bCs/>
                <w:color w:val="000000"/>
                <w:sz w:val="28"/>
                <w:szCs w:val="28"/>
              </w:rPr>
              <w:t>CFIS</w:t>
            </w:r>
          </w:p>
        </w:tc>
      </w:tr>
      <w:tr w:rsidR="00163995" w:rsidRPr="00163995" w:rsidTr="00163995">
        <w:trPr>
          <w:trHeight w:val="300"/>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rsidR="00163995" w:rsidRPr="00163995" w:rsidRDefault="00163995" w:rsidP="00163995">
            <w:pPr>
              <w:spacing w:after="0" w:line="240" w:lineRule="auto"/>
              <w:jc w:val="center"/>
              <w:rPr>
                <w:rFonts w:ascii="Calibri" w:eastAsia="Times New Roman" w:hAnsi="Calibri" w:cs="Calibri"/>
                <w:color w:val="000000"/>
                <w:sz w:val="24"/>
                <w:szCs w:val="24"/>
              </w:rPr>
            </w:pPr>
            <w:r w:rsidRPr="00A1293C">
              <w:rPr>
                <w:rFonts w:ascii="Calibri" w:eastAsia="Times New Roman" w:hAnsi="Calibri" w:cs="Calibri"/>
                <w:color w:val="000000"/>
                <w:sz w:val="24"/>
                <w:szCs w:val="24"/>
              </w:rPr>
              <w:t>1st to 15th</w:t>
            </w:r>
          </w:p>
        </w:tc>
        <w:tc>
          <w:tcPr>
            <w:tcW w:w="4860" w:type="dxa"/>
            <w:tcBorders>
              <w:top w:val="nil"/>
              <w:left w:val="nil"/>
              <w:bottom w:val="single" w:sz="4" w:space="0" w:color="auto"/>
              <w:right w:val="single" w:sz="4" w:space="0" w:color="auto"/>
            </w:tcBorders>
            <w:shd w:val="clear" w:color="auto" w:fill="auto"/>
            <w:noWrap/>
            <w:vAlign w:val="bottom"/>
            <w:hideMark/>
          </w:tcPr>
          <w:p w:rsidR="00163995" w:rsidRPr="00163995" w:rsidRDefault="00163995" w:rsidP="00163995">
            <w:pPr>
              <w:spacing w:after="0" w:line="240" w:lineRule="auto"/>
              <w:jc w:val="center"/>
              <w:rPr>
                <w:rFonts w:ascii="Calibri" w:eastAsia="Times New Roman" w:hAnsi="Calibri" w:cs="Calibri"/>
                <w:color w:val="000000"/>
                <w:sz w:val="24"/>
                <w:szCs w:val="24"/>
              </w:rPr>
            </w:pPr>
            <w:r w:rsidRPr="00163995">
              <w:rPr>
                <w:rFonts w:ascii="Calibri" w:eastAsia="Times New Roman" w:hAnsi="Calibri" w:cs="Calibri"/>
                <w:color w:val="000000"/>
                <w:sz w:val="24"/>
                <w:szCs w:val="24"/>
              </w:rPr>
              <w:t>by the last day of the month</w:t>
            </w:r>
          </w:p>
        </w:tc>
      </w:tr>
      <w:tr w:rsidR="00163995" w:rsidRPr="00163995" w:rsidTr="00163995">
        <w:trPr>
          <w:trHeight w:val="300"/>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rsidR="00163995" w:rsidRPr="00163995" w:rsidRDefault="00163995" w:rsidP="00163995">
            <w:pPr>
              <w:spacing w:after="0" w:line="240" w:lineRule="auto"/>
              <w:jc w:val="center"/>
              <w:rPr>
                <w:rFonts w:ascii="Calibri" w:eastAsia="Times New Roman" w:hAnsi="Calibri" w:cs="Calibri"/>
                <w:color w:val="000000"/>
                <w:sz w:val="24"/>
                <w:szCs w:val="24"/>
              </w:rPr>
            </w:pPr>
            <w:r w:rsidRPr="00A1293C">
              <w:rPr>
                <w:rFonts w:ascii="Calibri" w:eastAsia="Times New Roman" w:hAnsi="Calibri" w:cs="Calibri"/>
                <w:color w:val="000000"/>
                <w:sz w:val="24"/>
                <w:szCs w:val="24"/>
              </w:rPr>
              <w:t xml:space="preserve">16th to </w:t>
            </w:r>
            <w:r w:rsidR="00EA6686">
              <w:rPr>
                <w:rFonts w:ascii="Calibri" w:eastAsia="Times New Roman" w:hAnsi="Calibri" w:cs="Calibri"/>
                <w:color w:val="000000"/>
                <w:sz w:val="24"/>
                <w:szCs w:val="24"/>
              </w:rPr>
              <w:t>last day of month</w:t>
            </w:r>
          </w:p>
        </w:tc>
        <w:tc>
          <w:tcPr>
            <w:tcW w:w="4860" w:type="dxa"/>
            <w:tcBorders>
              <w:top w:val="nil"/>
              <w:left w:val="nil"/>
              <w:bottom w:val="single" w:sz="4" w:space="0" w:color="auto"/>
              <w:right w:val="single" w:sz="4" w:space="0" w:color="auto"/>
            </w:tcBorders>
            <w:shd w:val="clear" w:color="auto" w:fill="auto"/>
            <w:noWrap/>
            <w:vAlign w:val="bottom"/>
            <w:hideMark/>
          </w:tcPr>
          <w:p w:rsidR="00163995" w:rsidRPr="00163995" w:rsidRDefault="00163995" w:rsidP="00163995">
            <w:pPr>
              <w:spacing w:after="0" w:line="240" w:lineRule="auto"/>
              <w:jc w:val="center"/>
              <w:rPr>
                <w:rFonts w:ascii="Calibri" w:eastAsia="Times New Roman" w:hAnsi="Calibri" w:cs="Calibri"/>
                <w:color w:val="000000"/>
                <w:sz w:val="24"/>
                <w:szCs w:val="24"/>
              </w:rPr>
            </w:pPr>
            <w:r w:rsidRPr="00163995">
              <w:rPr>
                <w:rFonts w:ascii="Calibri" w:eastAsia="Times New Roman" w:hAnsi="Calibri" w:cs="Calibri"/>
                <w:color w:val="000000"/>
                <w:sz w:val="24"/>
                <w:szCs w:val="24"/>
              </w:rPr>
              <w:t>by 18th of following month</w:t>
            </w:r>
          </w:p>
        </w:tc>
      </w:tr>
    </w:tbl>
    <w:p w:rsidR="00E6516D" w:rsidRPr="00A1293C" w:rsidRDefault="00E6516D" w:rsidP="00A1293C">
      <w:pPr>
        <w:kinsoku w:val="0"/>
        <w:overflowPunct w:val="0"/>
        <w:textAlignment w:val="baseline"/>
        <w:rPr>
          <w:color w:val="FFBF0F"/>
          <w:sz w:val="28"/>
          <w:szCs w:val="28"/>
        </w:rPr>
      </w:pPr>
    </w:p>
    <w:tbl>
      <w:tblPr>
        <w:tblW w:w="0" w:type="auto"/>
        <w:tblCellMar>
          <w:left w:w="0" w:type="dxa"/>
          <w:right w:w="0" w:type="dxa"/>
        </w:tblCellMar>
        <w:tblLook w:val="0420" w:firstRow="1" w:lastRow="0" w:firstColumn="0" w:lastColumn="0" w:noHBand="0" w:noVBand="1"/>
      </w:tblPr>
      <w:tblGrid>
        <w:gridCol w:w="3770"/>
        <w:gridCol w:w="5490"/>
      </w:tblGrid>
      <w:tr w:rsidR="00DC5027" w:rsidRPr="00DC5027" w:rsidTr="00A1293C">
        <w:trPr>
          <w:trHeight w:val="412"/>
        </w:trPr>
        <w:tc>
          <w:tcPr>
            <w:tcW w:w="3770" w:type="dxa"/>
            <w:tcBorders>
              <w:top w:val="single" w:sz="8" w:space="0" w:color="FFFFFF"/>
              <w:left w:val="single" w:sz="8" w:space="0" w:color="FFFFFF"/>
              <w:bottom w:val="single" w:sz="24" w:space="0" w:color="FFFFFF"/>
              <w:right w:val="single" w:sz="8" w:space="0" w:color="FFFFFF"/>
            </w:tcBorders>
            <w:shd w:val="clear" w:color="auto" w:fill="700017"/>
            <w:tcMar>
              <w:top w:w="72" w:type="dxa"/>
              <w:left w:w="144" w:type="dxa"/>
              <w:bottom w:w="72" w:type="dxa"/>
              <w:right w:w="144" w:type="dxa"/>
            </w:tcMar>
            <w:hideMark/>
          </w:tcPr>
          <w:p w:rsidR="00DC5027" w:rsidRPr="00DC5027" w:rsidRDefault="00DC5027" w:rsidP="000B1B6B">
            <w:pPr>
              <w:spacing w:after="0" w:line="240" w:lineRule="auto"/>
              <w:jc w:val="center"/>
              <w:rPr>
                <w:rFonts w:ascii="Arial" w:eastAsia="Times New Roman" w:hAnsi="Arial" w:cs="Arial"/>
                <w:sz w:val="24"/>
                <w:szCs w:val="24"/>
              </w:rPr>
            </w:pPr>
            <w:r w:rsidRPr="00DC5027">
              <w:rPr>
                <w:rFonts w:ascii="Verdana" w:eastAsia="Times New Roman" w:hAnsi="Verdana" w:cs="Arial"/>
                <w:b/>
                <w:bCs/>
                <w:color w:val="FFFFFF" w:themeColor="light1"/>
                <w:kern w:val="24"/>
                <w:sz w:val="24"/>
                <w:szCs w:val="24"/>
              </w:rPr>
              <w:t>Element</w:t>
            </w:r>
          </w:p>
        </w:tc>
        <w:tc>
          <w:tcPr>
            <w:tcW w:w="5490" w:type="dxa"/>
            <w:tcBorders>
              <w:top w:val="single" w:sz="8" w:space="0" w:color="FFFFFF"/>
              <w:left w:val="single" w:sz="8" w:space="0" w:color="FFFFFF"/>
              <w:bottom w:val="single" w:sz="24" w:space="0" w:color="FFFFFF"/>
              <w:right w:val="single" w:sz="8" w:space="0" w:color="FFFFFF"/>
            </w:tcBorders>
            <w:shd w:val="clear" w:color="auto" w:fill="700017"/>
            <w:tcMar>
              <w:top w:w="72" w:type="dxa"/>
              <w:left w:w="144" w:type="dxa"/>
              <w:bottom w:w="72" w:type="dxa"/>
              <w:right w:w="144" w:type="dxa"/>
            </w:tcMar>
            <w:hideMark/>
          </w:tcPr>
          <w:p w:rsidR="00DC5027" w:rsidRPr="00DC5027" w:rsidRDefault="00DC5027" w:rsidP="000B1B6B">
            <w:pPr>
              <w:spacing w:after="0" w:line="240" w:lineRule="auto"/>
              <w:jc w:val="center"/>
              <w:rPr>
                <w:rFonts w:ascii="Arial" w:eastAsia="Times New Roman" w:hAnsi="Arial" w:cs="Arial"/>
                <w:sz w:val="24"/>
                <w:szCs w:val="24"/>
              </w:rPr>
            </w:pPr>
            <w:r w:rsidRPr="00DC5027">
              <w:rPr>
                <w:rFonts w:ascii="Verdana" w:eastAsia="Times New Roman" w:hAnsi="Verdana" w:cs="Arial"/>
                <w:b/>
                <w:bCs/>
                <w:color w:val="FFFFFF" w:themeColor="light1"/>
                <w:kern w:val="24"/>
                <w:sz w:val="24"/>
                <w:szCs w:val="24"/>
              </w:rPr>
              <w:t>Code</w:t>
            </w:r>
          </w:p>
        </w:tc>
      </w:tr>
      <w:tr w:rsidR="00DC5027" w:rsidRPr="00DC5027" w:rsidTr="00A1293C">
        <w:trPr>
          <w:trHeight w:val="264"/>
        </w:trPr>
        <w:tc>
          <w:tcPr>
            <w:tcW w:w="3770" w:type="dxa"/>
            <w:tcBorders>
              <w:top w:val="single" w:sz="24"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hideMark/>
          </w:tcPr>
          <w:p w:rsidR="00DC5027" w:rsidRPr="00A1293C" w:rsidRDefault="00DC5027" w:rsidP="000B1B6B">
            <w:pPr>
              <w:spacing w:after="0" w:line="240" w:lineRule="auto"/>
              <w:jc w:val="center"/>
              <w:rPr>
                <w:rFonts w:ascii="Arial" w:eastAsia="Times New Roman" w:hAnsi="Arial" w:cs="Arial"/>
                <w:b/>
              </w:rPr>
            </w:pPr>
            <w:r w:rsidRPr="00A1293C">
              <w:rPr>
                <w:rFonts w:ascii="Verdana" w:eastAsia="Times New Roman" w:hAnsi="Verdana" w:cs="Arial"/>
                <w:b/>
                <w:color w:val="000000" w:themeColor="dark1"/>
                <w:kern w:val="24"/>
              </w:rPr>
              <w:t>SA Project</w:t>
            </w:r>
          </w:p>
        </w:tc>
        <w:tc>
          <w:tcPr>
            <w:tcW w:w="5490" w:type="dxa"/>
            <w:tcBorders>
              <w:top w:val="single" w:sz="24"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hideMark/>
          </w:tcPr>
          <w:p w:rsidR="00DC5027" w:rsidRPr="00A1293C" w:rsidRDefault="00DC5027" w:rsidP="000B1B6B">
            <w:pPr>
              <w:spacing w:after="0" w:line="240" w:lineRule="auto"/>
              <w:jc w:val="center"/>
              <w:rPr>
                <w:rFonts w:ascii="Arial" w:eastAsia="Times New Roman" w:hAnsi="Arial" w:cs="Arial"/>
                <w:b/>
              </w:rPr>
            </w:pPr>
            <w:r w:rsidRPr="00A1293C">
              <w:rPr>
                <w:rFonts w:ascii="Verdana" w:eastAsia="Times New Roman" w:hAnsi="Verdana" w:cs="Arial"/>
                <w:b/>
                <w:color w:val="000000" w:themeColor="dark1"/>
                <w:kern w:val="24"/>
              </w:rPr>
              <w:t>JFSCWE30</w:t>
            </w:r>
          </w:p>
        </w:tc>
      </w:tr>
      <w:tr w:rsidR="00DC5027" w:rsidRPr="00DC5027" w:rsidTr="00A1293C">
        <w:trPr>
          <w:trHeight w:val="331"/>
        </w:trPr>
        <w:tc>
          <w:tcPr>
            <w:tcW w:w="3770" w:type="dxa"/>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rsidR="00DC5027" w:rsidRPr="00A1293C" w:rsidRDefault="00DC5027" w:rsidP="000B1B6B">
            <w:pPr>
              <w:spacing w:after="0" w:line="240" w:lineRule="auto"/>
              <w:jc w:val="center"/>
              <w:rPr>
                <w:rFonts w:ascii="Arial" w:eastAsia="Times New Roman" w:hAnsi="Arial" w:cs="Arial"/>
                <w:b/>
              </w:rPr>
            </w:pPr>
            <w:r w:rsidRPr="00A1293C">
              <w:rPr>
                <w:rFonts w:ascii="Verdana" w:eastAsia="Times New Roman" w:hAnsi="Verdana" w:cs="Arial"/>
                <w:b/>
                <w:color w:val="000000" w:themeColor="dark1"/>
                <w:kern w:val="24"/>
              </w:rPr>
              <w:t>SA Project Name</w:t>
            </w:r>
          </w:p>
        </w:tc>
        <w:tc>
          <w:tcPr>
            <w:tcW w:w="5490" w:type="dxa"/>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rsidR="00DC5027" w:rsidRPr="00A1293C" w:rsidRDefault="00DC5027" w:rsidP="000B1B6B">
            <w:pPr>
              <w:spacing w:after="0" w:line="240" w:lineRule="auto"/>
              <w:jc w:val="center"/>
              <w:rPr>
                <w:rFonts w:ascii="Arial" w:eastAsia="Times New Roman" w:hAnsi="Arial" w:cs="Arial"/>
                <w:b/>
              </w:rPr>
            </w:pPr>
            <w:r w:rsidRPr="00A1293C">
              <w:rPr>
                <w:rFonts w:ascii="Verdana" w:eastAsia="Times New Roman" w:hAnsi="Verdana" w:cs="Arial"/>
                <w:b/>
                <w:color w:val="000000" w:themeColor="dark1"/>
                <w:kern w:val="24"/>
              </w:rPr>
              <w:t>NEG-30 Disaster SSFL</w:t>
            </w:r>
          </w:p>
        </w:tc>
      </w:tr>
      <w:tr w:rsidR="00DC5027" w:rsidRPr="00DC5027" w:rsidTr="00A1293C">
        <w:trPr>
          <w:trHeight w:val="250"/>
        </w:trPr>
        <w:tc>
          <w:tcPr>
            <w:tcW w:w="3770" w:type="dxa"/>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hideMark/>
          </w:tcPr>
          <w:p w:rsidR="00DC5027" w:rsidRPr="00A1293C" w:rsidRDefault="00DC5027" w:rsidP="000B1B6B">
            <w:pPr>
              <w:spacing w:after="0" w:line="240" w:lineRule="auto"/>
              <w:jc w:val="center"/>
              <w:rPr>
                <w:rFonts w:ascii="Arial" w:eastAsia="Times New Roman" w:hAnsi="Arial" w:cs="Arial"/>
                <w:b/>
              </w:rPr>
            </w:pPr>
            <w:r w:rsidRPr="00A1293C">
              <w:rPr>
                <w:rFonts w:ascii="Verdana" w:eastAsia="Times New Roman" w:hAnsi="Verdana" w:cs="Arial"/>
                <w:b/>
                <w:kern w:val="24"/>
              </w:rPr>
              <w:t>RMS Coding</w:t>
            </w:r>
          </w:p>
        </w:tc>
        <w:tc>
          <w:tcPr>
            <w:tcW w:w="5490" w:type="dxa"/>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hideMark/>
          </w:tcPr>
          <w:p w:rsidR="00DC5027" w:rsidRPr="00A1293C" w:rsidRDefault="00DC5027" w:rsidP="000B1B6B">
            <w:pPr>
              <w:spacing w:after="0" w:line="240" w:lineRule="auto"/>
              <w:jc w:val="center"/>
              <w:rPr>
                <w:rFonts w:ascii="Arial" w:eastAsia="Times New Roman" w:hAnsi="Arial" w:cs="Arial"/>
                <w:b/>
              </w:rPr>
            </w:pPr>
            <w:r w:rsidRPr="00A1293C">
              <w:rPr>
                <w:rFonts w:ascii="Verdana" w:eastAsia="Times New Roman" w:hAnsi="Verdana" w:cs="Arial"/>
                <w:b/>
                <w:kern w:val="24"/>
              </w:rPr>
              <w:t>486</w:t>
            </w:r>
          </w:p>
        </w:tc>
      </w:tr>
    </w:tbl>
    <w:p w:rsidR="002B6546" w:rsidRPr="00E6516D" w:rsidRDefault="002B6546" w:rsidP="00DC5027">
      <w:pPr>
        <w:kinsoku w:val="0"/>
        <w:overflowPunct w:val="0"/>
        <w:textAlignment w:val="baseline"/>
        <w:rPr>
          <w:color w:val="FFBF0F"/>
          <w:sz w:val="20"/>
          <w:szCs w:val="20"/>
        </w:rPr>
      </w:pPr>
    </w:p>
    <w:tbl>
      <w:tblPr>
        <w:tblW w:w="0" w:type="auto"/>
        <w:tblCellMar>
          <w:left w:w="0" w:type="dxa"/>
          <w:right w:w="0" w:type="dxa"/>
        </w:tblCellMar>
        <w:tblLook w:val="0420" w:firstRow="1" w:lastRow="0" w:firstColumn="0" w:lastColumn="0" w:noHBand="0" w:noVBand="1"/>
      </w:tblPr>
      <w:tblGrid>
        <w:gridCol w:w="7124"/>
        <w:gridCol w:w="2216"/>
      </w:tblGrid>
      <w:tr w:rsidR="000B1B6B" w:rsidRPr="000B1B6B" w:rsidTr="00A1293C">
        <w:trPr>
          <w:trHeight w:val="466"/>
        </w:trPr>
        <w:tc>
          <w:tcPr>
            <w:tcW w:w="0" w:type="auto"/>
            <w:tcBorders>
              <w:top w:val="single" w:sz="8" w:space="0" w:color="FFFFFF"/>
              <w:left w:val="single" w:sz="8" w:space="0" w:color="FFFFFF"/>
              <w:bottom w:val="single" w:sz="24" w:space="0" w:color="FFFFFF"/>
              <w:right w:val="single" w:sz="8" w:space="0" w:color="FFFFFF"/>
            </w:tcBorders>
            <w:shd w:val="clear" w:color="auto" w:fill="700017"/>
            <w:tcMar>
              <w:top w:w="72" w:type="dxa"/>
              <w:left w:w="144" w:type="dxa"/>
              <w:bottom w:w="72" w:type="dxa"/>
              <w:right w:w="144" w:type="dxa"/>
            </w:tcMar>
            <w:hideMark/>
          </w:tcPr>
          <w:p w:rsidR="000B1B6B" w:rsidRPr="00A1293C" w:rsidRDefault="000B1B6B" w:rsidP="000B1B6B">
            <w:pPr>
              <w:spacing w:after="0" w:line="240" w:lineRule="auto"/>
              <w:jc w:val="center"/>
              <w:rPr>
                <w:rFonts w:ascii="Arial" w:eastAsia="Times New Roman" w:hAnsi="Arial" w:cs="Arial"/>
              </w:rPr>
            </w:pPr>
            <w:bookmarkStart w:id="1" w:name="_Hlk522624778"/>
            <w:r w:rsidRPr="00A1293C">
              <w:rPr>
                <w:rFonts w:ascii="Verdana" w:eastAsia="Times New Roman" w:hAnsi="Verdana" w:cs="Arial"/>
                <w:b/>
                <w:bCs/>
                <w:color w:val="FFFFFF" w:themeColor="light1"/>
                <w:kern w:val="24"/>
              </w:rPr>
              <w:t>Activity</w:t>
            </w:r>
          </w:p>
        </w:tc>
        <w:tc>
          <w:tcPr>
            <w:tcW w:w="0" w:type="auto"/>
            <w:tcBorders>
              <w:top w:val="single" w:sz="8" w:space="0" w:color="FFFFFF"/>
              <w:left w:val="single" w:sz="8" w:space="0" w:color="FFFFFF"/>
              <w:bottom w:val="single" w:sz="24" w:space="0" w:color="FFFFFF"/>
              <w:right w:val="single" w:sz="8" w:space="0" w:color="FFFFFF"/>
            </w:tcBorders>
            <w:shd w:val="clear" w:color="auto" w:fill="700017"/>
            <w:tcMar>
              <w:top w:w="72" w:type="dxa"/>
              <w:left w:w="144" w:type="dxa"/>
              <w:bottom w:w="72" w:type="dxa"/>
              <w:right w:w="144" w:type="dxa"/>
            </w:tcMar>
            <w:hideMark/>
          </w:tcPr>
          <w:p w:rsidR="000B1B6B" w:rsidRPr="00A1293C" w:rsidRDefault="000B1B6B" w:rsidP="000B1B6B">
            <w:pPr>
              <w:spacing w:after="0" w:line="240" w:lineRule="auto"/>
              <w:jc w:val="center"/>
              <w:rPr>
                <w:rFonts w:ascii="Arial" w:eastAsia="Times New Roman" w:hAnsi="Arial" w:cs="Arial"/>
              </w:rPr>
            </w:pPr>
            <w:r w:rsidRPr="00A1293C">
              <w:rPr>
                <w:rFonts w:ascii="Verdana" w:eastAsia="Times New Roman" w:hAnsi="Verdana" w:cs="Arial"/>
                <w:b/>
                <w:bCs/>
                <w:color w:val="FFFFFF" w:themeColor="light1"/>
                <w:kern w:val="24"/>
              </w:rPr>
              <w:t>CFIS Sub-Project Code</w:t>
            </w:r>
          </w:p>
        </w:tc>
      </w:tr>
      <w:bookmarkEnd w:id="1"/>
      <w:tr w:rsidR="000B1B6B" w:rsidRPr="000B1B6B" w:rsidTr="00A1293C">
        <w:trPr>
          <w:trHeight w:val="885"/>
        </w:trPr>
        <w:tc>
          <w:tcPr>
            <w:tcW w:w="0" w:type="auto"/>
            <w:tcBorders>
              <w:top w:val="single" w:sz="24"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hideMark/>
          </w:tcPr>
          <w:p w:rsidR="000B1B6B" w:rsidRPr="000B1B6B" w:rsidRDefault="000B1B6B" w:rsidP="000B1B6B">
            <w:pPr>
              <w:spacing w:after="0" w:line="240" w:lineRule="auto"/>
              <w:rPr>
                <w:rFonts w:ascii="Arial" w:eastAsia="Times New Roman" w:hAnsi="Arial" w:cs="Arial"/>
              </w:rPr>
            </w:pPr>
            <w:r w:rsidRPr="000B1B6B">
              <w:rPr>
                <w:rFonts w:ascii="Verdana" w:eastAsia="Times New Roman" w:hAnsi="Verdana" w:cs="Arial"/>
                <w:color w:val="000000" w:themeColor="dark1"/>
                <w:kern w:val="24"/>
              </w:rPr>
              <w:t>Wages earned by program participants performing approved disaster recovery activities.  DWG participants may not be employed more than 1 year (2,080</w:t>
            </w:r>
            <w:r w:rsidR="00C07EC7">
              <w:rPr>
                <w:rFonts w:ascii="Verdana" w:eastAsia="Times New Roman" w:hAnsi="Verdana" w:cs="Arial"/>
                <w:color w:val="000000" w:themeColor="dark1"/>
                <w:kern w:val="24"/>
              </w:rPr>
              <w:t xml:space="preserve"> hours</w:t>
            </w:r>
            <w:r w:rsidRPr="000B1B6B">
              <w:rPr>
                <w:rFonts w:ascii="Verdana" w:eastAsia="Times New Roman" w:hAnsi="Verdana" w:cs="Arial"/>
                <w:color w:val="000000" w:themeColor="dark1"/>
                <w:kern w:val="24"/>
              </w:rPr>
              <w:t>)</w:t>
            </w:r>
          </w:p>
        </w:tc>
        <w:tc>
          <w:tcPr>
            <w:tcW w:w="0" w:type="auto"/>
            <w:tcBorders>
              <w:top w:val="single" w:sz="24"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hideMark/>
          </w:tcPr>
          <w:p w:rsidR="000B1B6B" w:rsidRPr="000B1B6B" w:rsidRDefault="000B1B6B" w:rsidP="000B1B6B">
            <w:pPr>
              <w:spacing w:after="0" w:line="240" w:lineRule="auto"/>
              <w:rPr>
                <w:rFonts w:ascii="Arial" w:eastAsia="Times New Roman" w:hAnsi="Arial" w:cs="Arial"/>
                <w:b/>
                <w:sz w:val="24"/>
                <w:szCs w:val="24"/>
              </w:rPr>
            </w:pPr>
            <w:r w:rsidRPr="000B1B6B">
              <w:rPr>
                <w:rFonts w:ascii="Verdana" w:eastAsia="Times New Roman" w:hAnsi="Verdana" w:cs="Arial"/>
                <w:b/>
                <w:color w:val="000000" w:themeColor="dark1"/>
                <w:kern w:val="24"/>
                <w:sz w:val="24"/>
                <w:szCs w:val="24"/>
              </w:rPr>
              <w:t>DNEGWAGES</w:t>
            </w:r>
          </w:p>
        </w:tc>
      </w:tr>
      <w:tr w:rsidR="000B1B6B" w:rsidRPr="000B1B6B" w:rsidTr="00E6516D">
        <w:trPr>
          <w:trHeight w:val="655"/>
        </w:trPr>
        <w:tc>
          <w:tcPr>
            <w:tcW w:w="0" w:type="auto"/>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rsidR="000B1B6B" w:rsidRPr="00C07EC7" w:rsidRDefault="000B1B6B" w:rsidP="000B1B6B">
            <w:pPr>
              <w:spacing w:after="0" w:line="240" w:lineRule="auto"/>
              <w:rPr>
                <w:rFonts w:ascii="Arial" w:eastAsia="Times New Roman" w:hAnsi="Arial" w:cs="Arial"/>
              </w:rPr>
            </w:pPr>
            <w:r w:rsidRPr="00C07EC7">
              <w:rPr>
                <w:rFonts w:ascii="Verdana" w:eastAsia="Times New Roman" w:hAnsi="Verdana" w:cs="Arial"/>
                <w:color w:val="000000" w:themeColor="dark1"/>
                <w:kern w:val="24"/>
              </w:rPr>
              <w:t>Cost of fringe benefits paid to participants such as Worker’s Comp., retirement or insurance if appropriate.</w:t>
            </w:r>
          </w:p>
        </w:tc>
        <w:tc>
          <w:tcPr>
            <w:tcW w:w="0" w:type="auto"/>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rsidR="000B1B6B" w:rsidRPr="000B1B6B" w:rsidRDefault="000B1B6B" w:rsidP="000B1B6B">
            <w:pPr>
              <w:spacing w:after="0" w:line="240" w:lineRule="auto"/>
              <w:rPr>
                <w:rFonts w:ascii="Arial" w:eastAsia="Times New Roman" w:hAnsi="Arial" w:cs="Arial"/>
                <w:b/>
                <w:sz w:val="24"/>
                <w:szCs w:val="24"/>
              </w:rPr>
            </w:pPr>
            <w:r w:rsidRPr="000B1B6B">
              <w:rPr>
                <w:rFonts w:ascii="Verdana" w:eastAsia="Times New Roman" w:hAnsi="Verdana" w:cs="Arial"/>
                <w:b/>
                <w:color w:val="000000" w:themeColor="dark1"/>
                <w:kern w:val="24"/>
                <w:sz w:val="24"/>
                <w:szCs w:val="24"/>
              </w:rPr>
              <w:t>DNEGFRNGE</w:t>
            </w:r>
          </w:p>
        </w:tc>
      </w:tr>
      <w:tr w:rsidR="000B1B6B" w:rsidRPr="000B1B6B" w:rsidTr="00E6516D">
        <w:trPr>
          <w:trHeight w:val="1366"/>
        </w:trPr>
        <w:tc>
          <w:tcPr>
            <w:tcW w:w="0" w:type="auto"/>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hideMark/>
          </w:tcPr>
          <w:p w:rsidR="000B1B6B" w:rsidRPr="00C07EC7" w:rsidRDefault="000B1B6B" w:rsidP="000B1B6B">
            <w:pPr>
              <w:spacing w:after="0" w:line="240" w:lineRule="auto"/>
              <w:rPr>
                <w:rFonts w:ascii="Arial" w:eastAsia="Times New Roman" w:hAnsi="Arial" w:cs="Arial"/>
              </w:rPr>
            </w:pPr>
            <w:r w:rsidRPr="00C07EC7">
              <w:rPr>
                <w:rFonts w:ascii="Verdana" w:eastAsia="Times New Roman" w:hAnsi="Verdana" w:cs="Arial"/>
                <w:color w:val="000000" w:themeColor="dark1"/>
                <w:kern w:val="24"/>
              </w:rPr>
              <w:t xml:space="preserve">Cost of personal &amp; safety items provided to participants including immunizations needed to safely perform grant operations.  Cost of items for personal use such as clothing, boots, helmet liners and gloves – items not generally shared by multiple workers. </w:t>
            </w:r>
          </w:p>
        </w:tc>
        <w:tc>
          <w:tcPr>
            <w:tcW w:w="0" w:type="auto"/>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hideMark/>
          </w:tcPr>
          <w:p w:rsidR="000B1B6B" w:rsidRPr="000B1B6B" w:rsidRDefault="000B1B6B" w:rsidP="000B1B6B">
            <w:pPr>
              <w:spacing w:after="0" w:line="240" w:lineRule="auto"/>
              <w:rPr>
                <w:rFonts w:ascii="Arial" w:eastAsia="Times New Roman" w:hAnsi="Arial" w:cs="Arial"/>
                <w:b/>
                <w:sz w:val="24"/>
                <w:szCs w:val="24"/>
              </w:rPr>
            </w:pPr>
            <w:r w:rsidRPr="000B1B6B">
              <w:rPr>
                <w:rFonts w:ascii="Verdana" w:eastAsia="Times New Roman" w:hAnsi="Verdana" w:cs="Arial"/>
                <w:b/>
                <w:color w:val="000000" w:themeColor="dark1"/>
                <w:kern w:val="24"/>
                <w:sz w:val="24"/>
                <w:szCs w:val="24"/>
              </w:rPr>
              <w:t>DNEGSUPPT</w:t>
            </w:r>
          </w:p>
        </w:tc>
      </w:tr>
      <w:tr w:rsidR="000B1B6B" w:rsidRPr="000B1B6B" w:rsidTr="00A1293C">
        <w:trPr>
          <w:trHeight w:val="826"/>
        </w:trPr>
        <w:tc>
          <w:tcPr>
            <w:tcW w:w="0" w:type="auto"/>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tcPr>
          <w:p w:rsidR="000B1B6B" w:rsidRPr="00C07EC7" w:rsidRDefault="000B1B6B" w:rsidP="000B1B6B">
            <w:pPr>
              <w:spacing w:after="0" w:line="240" w:lineRule="auto"/>
              <w:rPr>
                <w:rFonts w:ascii="Verdana" w:eastAsia="Times New Roman" w:hAnsi="Verdana" w:cs="Arial"/>
                <w:color w:val="000000" w:themeColor="dark1"/>
                <w:kern w:val="24"/>
              </w:rPr>
            </w:pPr>
            <w:r w:rsidRPr="00C07EC7">
              <w:rPr>
                <w:rFonts w:ascii="Verdana" w:eastAsia="Times New Roman" w:hAnsi="Verdana" w:cs="Arial"/>
                <w:color w:val="000000" w:themeColor="dark1"/>
                <w:kern w:val="24"/>
              </w:rPr>
              <w:t>Costs of non-staff items needed for operation of the grant, such as supplies, equipment, debris removal, participant training costs, etc.</w:t>
            </w:r>
          </w:p>
        </w:tc>
        <w:tc>
          <w:tcPr>
            <w:tcW w:w="0" w:type="auto"/>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tcPr>
          <w:p w:rsidR="000B1B6B" w:rsidRPr="000B1B6B" w:rsidRDefault="000B1B6B" w:rsidP="000B1B6B">
            <w:pPr>
              <w:spacing w:after="0" w:line="240" w:lineRule="auto"/>
              <w:rPr>
                <w:rFonts w:ascii="Verdana" w:eastAsia="Times New Roman" w:hAnsi="Verdana" w:cs="Arial"/>
                <w:color w:val="000000" w:themeColor="dark1"/>
                <w:kern w:val="24"/>
                <w:sz w:val="24"/>
                <w:szCs w:val="24"/>
              </w:rPr>
            </w:pPr>
            <w:r w:rsidRPr="005B5E1C">
              <w:rPr>
                <w:rFonts w:ascii="Verdana" w:eastAsia="Times New Roman" w:hAnsi="Verdana" w:cs="Arial"/>
                <w:b/>
                <w:color w:val="000000" w:themeColor="dark1"/>
                <w:kern w:val="24"/>
                <w:sz w:val="24"/>
                <w:szCs w:val="24"/>
              </w:rPr>
              <w:t>DNEGOTHER</w:t>
            </w:r>
          </w:p>
        </w:tc>
      </w:tr>
      <w:tr w:rsidR="000B1B6B" w:rsidRPr="000B1B6B" w:rsidTr="000B1B6B">
        <w:trPr>
          <w:trHeight w:val="1042"/>
        </w:trPr>
        <w:tc>
          <w:tcPr>
            <w:tcW w:w="0" w:type="auto"/>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tcPr>
          <w:p w:rsidR="000B1B6B" w:rsidRPr="00C07EC7" w:rsidRDefault="000B1B6B" w:rsidP="000B1B6B">
            <w:pPr>
              <w:spacing w:after="0" w:line="240" w:lineRule="auto"/>
              <w:rPr>
                <w:rFonts w:ascii="Verdana" w:eastAsia="Times New Roman" w:hAnsi="Verdana" w:cs="Arial"/>
                <w:color w:val="000000" w:themeColor="dark1"/>
                <w:kern w:val="24"/>
              </w:rPr>
            </w:pPr>
            <w:r w:rsidRPr="00C07EC7">
              <w:rPr>
                <w:rFonts w:ascii="Verdana" w:eastAsia="Times New Roman" w:hAnsi="Verdana" w:cs="Arial"/>
                <w:color w:val="000000" w:themeColor="dark1"/>
                <w:kern w:val="24"/>
              </w:rPr>
              <w:t>Program Management Costs – Non-administrative staff costs of program management and oversight including salary and fringe benefits of project manager, participant supervisor (if supervisor is not program participant), program monitor(s), etc.  Cost of staff travel, communication</w:t>
            </w:r>
            <w:r w:rsidR="00E6516D" w:rsidRPr="00C07EC7">
              <w:rPr>
                <w:rFonts w:ascii="Verdana" w:eastAsia="Times New Roman" w:hAnsi="Verdana" w:cs="Arial"/>
                <w:color w:val="000000" w:themeColor="dark1"/>
                <w:kern w:val="24"/>
              </w:rPr>
              <w:t>.</w:t>
            </w:r>
          </w:p>
        </w:tc>
        <w:tc>
          <w:tcPr>
            <w:tcW w:w="0" w:type="auto"/>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tcPr>
          <w:p w:rsidR="000B1B6B" w:rsidRPr="005B5E1C" w:rsidRDefault="000B1B6B" w:rsidP="000B1B6B">
            <w:pPr>
              <w:spacing w:after="0" w:line="240" w:lineRule="auto"/>
              <w:rPr>
                <w:rFonts w:ascii="Verdana" w:eastAsia="Times New Roman" w:hAnsi="Verdana" w:cs="Arial"/>
                <w:b/>
                <w:color w:val="000000" w:themeColor="dark1"/>
                <w:kern w:val="24"/>
                <w:sz w:val="24"/>
                <w:szCs w:val="24"/>
              </w:rPr>
            </w:pPr>
            <w:r w:rsidRPr="005B5E1C">
              <w:rPr>
                <w:rFonts w:ascii="Verdana" w:eastAsia="Times New Roman" w:hAnsi="Verdana" w:cs="Arial"/>
                <w:b/>
                <w:color w:val="000000" w:themeColor="dark1"/>
                <w:kern w:val="24"/>
                <w:sz w:val="24"/>
                <w:szCs w:val="24"/>
              </w:rPr>
              <w:t>RNEGPGMGT</w:t>
            </w:r>
          </w:p>
        </w:tc>
      </w:tr>
      <w:tr w:rsidR="00E6516D" w:rsidRPr="000B1B6B" w:rsidTr="00C07EC7">
        <w:trPr>
          <w:trHeight w:val="664"/>
        </w:trPr>
        <w:tc>
          <w:tcPr>
            <w:tcW w:w="0" w:type="auto"/>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tcPr>
          <w:p w:rsidR="00E6516D" w:rsidRPr="00C07EC7" w:rsidRDefault="00E6516D" w:rsidP="000B1B6B">
            <w:pPr>
              <w:spacing w:after="0" w:line="240" w:lineRule="auto"/>
              <w:rPr>
                <w:rFonts w:ascii="Verdana" w:eastAsia="Times New Roman" w:hAnsi="Verdana" w:cs="Arial"/>
                <w:color w:val="000000" w:themeColor="dark1"/>
                <w:kern w:val="24"/>
              </w:rPr>
            </w:pPr>
            <w:r w:rsidRPr="00C07EC7">
              <w:rPr>
                <w:rFonts w:ascii="Verdana" w:eastAsia="Times New Roman" w:hAnsi="Verdana" w:cs="Arial"/>
                <w:color w:val="000000" w:themeColor="dark1"/>
                <w:kern w:val="24"/>
              </w:rPr>
              <w:t>Administrative Costs - Expenses for administrative program management and oversight tasks by the workforce area.</w:t>
            </w:r>
          </w:p>
        </w:tc>
        <w:tc>
          <w:tcPr>
            <w:tcW w:w="0" w:type="auto"/>
            <w:tcBorders>
              <w:top w:val="single" w:sz="8" w:space="0" w:color="FFFFFF"/>
              <w:left w:val="single" w:sz="8" w:space="0" w:color="FFFFFF"/>
              <w:bottom w:val="single" w:sz="8" w:space="0" w:color="FFFFFF"/>
              <w:right w:val="single" w:sz="8" w:space="0" w:color="FFFFFF"/>
            </w:tcBorders>
            <w:shd w:val="clear" w:color="auto" w:fill="D5CBCC"/>
            <w:tcMar>
              <w:top w:w="72" w:type="dxa"/>
              <w:left w:w="144" w:type="dxa"/>
              <w:bottom w:w="72" w:type="dxa"/>
              <w:right w:w="144" w:type="dxa"/>
            </w:tcMar>
          </w:tcPr>
          <w:p w:rsidR="00E6516D" w:rsidRPr="005B5E1C" w:rsidRDefault="00E6516D" w:rsidP="000B1B6B">
            <w:pPr>
              <w:spacing w:after="0" w:line="240" w:lineRule="auto"/>
              <w:rPr>
                <w:rFonts w:ascii="Verdana" w:eastAsia="Times New Roman" w:hAnsi="Verdana" w:cs="Arial"/>
                <w:b/>
                <w:color w:val="000000" w:themeColor="dark1"/>
                <w:kern w:val="24"/>
                <w:sz w:val="24"/>
                <w:szCs w:val="24"/>
              </w:rPr>
            </w:pPr>
            <w:r w:rsidRPr="005B5E1C">
              <w:rPr>
                <w:rFonts w:ascii="Verdana" w:eastAsia="Times New Roman" w:hAnsi="Verdana" w:cs="Arial"/>
                <w:b/>
                <w:color w:val="000000" w:themeColor="dark1"/>
                <w:kern w:val="24"/>
                <w:sz w:val="24"/>
                <w:szCs w:val="24"/>
              </w:rPr>
              <w:t>DNEGADMIN</w:t>
            </w:r>
          </w:p>
        </w:tc>
      </w:tr>
    </w:tbl>
    <w:p w:rsidR="001A0D5C" w:rsidRPr="00DC5027" w:rsidRDefault="001A0D5C">
      <w:pPr>
        <w:rPr>
          <w:sz w:val="28"/>
          <w:szCs w:val="28"/>
        </w:rPr>
      </w:pPr>
    </w:p>
    <w:sectPr w:rsidR="001A0D5C" w:rsidRPr="00DC5027" w:rsidSect="00A1293C">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47EE5"/>
    <w:multiLevelType w:val="hybridMultilevel"/>
    <w:tmpl w:val="8F460D7C"/>
    <w:lvl w:ilvl="0" w:tplc="A7060D4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46FFB"/>
    <w:multiLevelType w:val="hybridMultilevel"/>
    <w:tmpl w:val="A162A24A"/>
    <w:lvl w:ilvl="0" w:tplc="87A42632">
      <w:start w:val="1"/>
      <w:numFmt w:val="bullet"/>
      <w:lvlText w:val=""/>
      <w:lvlJc w:val="left"/>
      <w:pPr>
        <w:tabs>
          <w:tab w:val="num" w:pos="720"/>
        </w:tabs>
        <w:ind w:left="720" w:hanging="360"/>
      </w:pPr>
      <w:rPr>
        <w:rFonts w:ascii="Wingdings" w:hAnsi="Wingdings" w:hint="default"/>
      </w:rPr>
    </w:lvl>
    <w:lvl w:ilvl="1" w:tplc="C68A3556" w:tentative="1">
      <w:start w:val="1"/>
      <w:numFmt w:val="bullet"/>
      <w:lvlText w:val=""/>
      <w:lvlJc w:val="left"/>
      <w:pPr>
        <w:tabs>
          <w:tab w:val="num" w:pos="1440"/>
        </w:tabs>
        <w:ind w:left="1440" w:hanging="360"/>
      </w:pPr>
      <w:rPr>
        <w:rFonts w:ascii="Wingdings" w:hAnsi="Wingdings" w:hint="default"/>
      </w:rPr>
    </w:lvl>
    <w:lvl w:ilvl="2" w:tplc="9698C88E" w:tentative="1">
      <w:start w:val="1"/>
      <w:numFmt w:val="bullet"/>
      <w:lvlText w:val=""/>
      <w:lvlJc w:val="left"/>
      <w:pPr>
        <w:tabs>
          <w:tab w:val="num" w:pos="2160"/>
        </w:tabs>
        <w:ind w:left="2160" w:hanging="360"/>
      </w:pPr>
      <w:rPr>
        <w:rFonts w:ascii="Wingdings" w:hAnsi="Wingdings" w:hint="default"/>
      </w:rPr>
    </w:lvl>
    <w:lvl w:ilvl="3" w:tplc="A24E2986" w:tentative="1">
      <w:start w:val="1"/>
      <w:numFmt w:val="bullet"/>
      <w:lvlText w:val=""/>
      <w:lvlJc w:val="left"/>
      <w:pPr>
        <w:tabs>
          <w:tab w:val="num" w:pos="2880"/>
        </w:tabs>
        <w:ind w:left="2880" w:hanging="360"/>
      </w:pPr>
      <w:rPr>
        <w:rFonts w:ascii="Wingdings" w:hAnsi="Wingdings" w:hint="default"/>
      </w:rPr>
    </w:lvl>
    <w:lvl w:ilvl="4" w:tplc="44B2AC32" w:tentative="1">
      <w:start w:val="1"/>
      <w:numFmt w:val="bullet"/>
      <w:lvlText w:val=""/>
      <w:lvlJc w:val="left"/>
      <w:pPr>
        <w:tabs>
          <w:tab w:val="num" w:pos="3600"/>
        </w:tabs>
        <w:ind w:left="3600" w:hanging="360"/>
      </w:pPr>
      <w:rPr>
        <w:rFonts w:ascii="Wingdings" w:hAnsi="Wingdings" w:hint="default"/>
      </w:rPr>
    </w:lvl>
    <w:lvl w:ilvl="5" w:tplc="6B0C388E" w:tentative="1">
      <w:start w:val="1"/>
      <w:numFmt w:val="bullet"/>
      <w:lvlText w:val=""/>
      <w:lvlJc w:val="left"/>
      <w:pPr>
        <w:tabs>
          <w:tab w:val="num" w:pos="4320"/>
        </w:tabs>
        <w:ind w:left="4320" w:hanging="360"/>
      </w:pPr>
      <w:rPr>
        <w:rFonts w:ascii="Wingdings" w:hAnsi="Wingdings" w:hint="default"/>
      </w:rPr>
    </w:lvl>
    <w:lvl w:ilvl="6" w:tplc="2D22BAA0" w:tentative="1">
      <w:start w:val="1"/>
      <w:numFmt w:val="bullet"/>
      <w:lvlText w:val=""/>
      <w:lvlJc w:val="left"/>
      <w:pPr>
        <w:tabs>
          <w:tab w:val="num" w:pos="5040"/>
        </w:tabs>
        <w:ind w:left="5040" w:hanging="360"/>
      </w:pPr>
      <w:rPr>
        <w:rFonts w:ascii="Wingdings" w:hAnsi="Wingdings" w:hint="default"/>
      </w:rPr>
    </w:lvl>
    <w:lvl w:ilvl="7" w:tplc="FB103D5A" w:tentative="1">
      <w:start w:val="1"/>
      <w:numFmt w:val="bullet"/>
      <w:lvlText w:val=""/>
      <w:lvlJc w:val="left"/>
      <w:pPr>
        <w:tabs>
          <w:tab w:val="num" w:pos="5760"/>
        </w:tabs>
        <w:ind w:left="5760" w:hanging="360"/>
      </w:pPr>
      <w:rPr>
        <w:rFonts w:ascii="Wingdings" w:hAnsi="Wingdings" w:hint="default"/>
      </w:rPr>
    </w:lvl>
    <w:lvl w:ilvl="8" w:tplc="18FCCD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B7371"/>
    <w:multiLevelType w:val="hybridMultilevel"/>
    <w:tmpl w:val="E92A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27"/>
    <w:rsid w:val="00012DA6"/>
    <w:rsid w:val="00087084"/>
    <w:rsid w:val="000B1B6B"/>
    <w:rsid w:val="00163995"/>
    <w:rsid w:val="001A0D5C"/>
    <w:rsid w:val="002B6546"/>
    <w:rsid w:val="005B5E1C"/>
    <w:rsid w:val="00922646"/>
    <w:rsid w:val="00A1293C"/>
    <w:rsid w:val="00A159A1"/>
    <w:rsid w:val="00A230A5"/>
    <w:rsid w:val="00BC641F"/>
    <w:rsid w:val="00C07EC7"/>
    <w:rsid w:val="00C300E5"/>
    <w:rsid w:val="00DC5027"/>
    <w:rsid w:val="00E6516D"/>
    <w:rsid w:val="00EA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05A2"/>
  <w15:chartTrackingRefBased/>
  <w15:docId w15:val="{2906F37B-6D31-4742-9236-6A86F87C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2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DC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0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2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3847">
      <w:bodyDiv w:val="1"/>
      <w:marLeft w:val="0"/>
      <w:marRight w:val="0"/>
      <w:marTop w:val="0"/>
      <w:marBottom w:val="0"/>
      <w:divBdr>
        <w:top w:val="none" w:sz="0" w:space="0" w:color="auto"/>
        <w:left w:val="none" w:sz="0" w:space="0" w:color="auto"/>
        <w:bottom w:val="none" w:sz="0" w:space="0" w:color="auto"/>
        <w:right w:val="none" w:sz="0" w:space="0" w:color="auto"/>
      </w:divBdr>
    </w:div>
    <w:div w:id="251091352">
      <w:bodyDiv w:val="1"/>
      <w:marLeft w:val="0"/>
      <w:marRight w:val="0"/>
      <w:marTop w:val="0"/>
      <w:marBottom w:val="0"/>
      <w:divBdr>
        <w:top w:val="none" w:sz="0" w:space="0" w:color="auto"/>
        <w:left w:val="none" w:sz="0" w:space="0" w:color="auto"/>
        <w:bottom w:val="none" w:sz="0" w:space="0" w:color="auto"/>
        <w:right w:val="none" w:sz="0" w:space="0" w:color="auto"/>
      </w:divBdr>
    </w:div>
    <w:div w:id="464004721">
      <w:bodyDiv w:val="1"/>
      <w:marLeft w:val="0"/>
      <w:marRight w:val="0"/>
      <w:marTop w:val="0"/>
      <w:marBottom w:val="0"/>
      <w:divBdr>
        <w:top w:val="none" w:sz="0" w:space="0" w:color="auto"/>
        <w:left w:val="none" w:sz="0" w:space="0" w:color="auto"/>
        <w:bottom w:val="none" w:sz="0" w:space="0" w:color="auto"/>
        <w:right w:val="none" w:sz="0" w:space="0" w:color="auto"/>
      </w:divBdr>
    </w:div>
    <w:div w:id="1096288418">
      <w:bodyDiv w:val="1"/>
      <w:marLeft w:val="0"/>
      <w:marRight w:val="0"/>
      <w:marTop w:val="0"/>
      <w:marBottom w:val="0"/>
      <w:divBdr>
        <w:top w:val="none" w:sz="0" w:space="0" w:color="auto"/>
        <w:left w:val="none" w:sz="0" w:space="0" w:color="auto"/>
        <w:bottom w:val="none" w:sz="0" w:space="0" w:color="auto"/>
        <w:right w:val="none" w:sz="0" w:space="0" w:color="auto"/>
      </w:divBdr>
    </w:div>
    <w:div w:id="1112749146">
      <w:bodyDiv w:val="1"/>
      <w:marLeft w:val="0"/>
      <w:marRight w:val="0"/>
      <w:marTop w:val="0"/>
      <w:marBottom w:val="0"/>
      <w:divBdr>
        <w:top w:val="none" w:sz="0" w:space="0" w:color="auto"/>
        <w:left w:val="none" w:sz="0" w:space="0" w:color="auto"/>
        <w:bottom w:val="none" w:sz="0" w:space="0" w:color="auto"/>
        <w:right w:val="none" w:sz="0" w:space="0" w:color="auto"/>
      </w:divBdr>
    </w:div>
    <w:div w:id="1499809288">
      <w:bodyDiv w:val="1"/>
      <w:marLeft w:val="0"/>
      <w:marRight w:val="0"/>
      <w:marTop w:val="0"/>
      <w:marBottom w:val="0"/>
      <w:divBdr>
        <w:top w:val="none" w:sz="0" w:space="0" w:color="auto"/>
        <w:left w:val="none" w:sz="0" w:space="0" w:color="auto"/>
        <w:bottom w:val="none" w:sz="0" w:space="0" w:color="auto"/>
        <w:right w:val="none" w:sz="0" w:space="0" w:color="auto"/>
      </w:divBdr>
    </w:div>
    <w:div w:id="1772048355">
      <w:bodyDiv w:val="1"/>
      <w:marLeft w:val="0"/>
      <w:marRight w:val="0"/>
      <w:marTop w:val="0"/>
      <w:marBottom w:val="0"/>
      <w:divBdr>
        <w:top w:val="none" w:sz="0" w:space="0" w:color="auto"/>
        <w:left w:val="none" w:sz="0" w:space="0" w:color="auto"/>
        <w:bottom w:val="none" w:sz="0" w:space="0" w:color="auto"/>
        <w:right w:val="none" w:sz="0" w:space="0" w:color="auto"/>
      </w:divBdr>
      <w:divsChild>
        <w:div w:id="1252357009">
          <w:marLeft w:val="547"/>
          <w:marRight w:val="0"/>
          <w:marTop w:val="134"/>
          <w:marBottom w:val="0"/>
          <w:divBdr>
            <w:top w:val="none" w:sz="0" w:space="0" w:color="auto"/>
            <w:left w:val="none" w:sz="0" w:space="0" w:color="auto"/>
            <w:bottom w:val="none" w:sz="0" w:space="0" w:color="auto"/>
            <w:right w:val="none" w:sz="0" w:space="0" w:color="auto"/>
          </w:divBdr>
        </w:div>
        <w:div w:id="1084764813">
          <w:marLeft w:val="547"/>
          <w:marRight w:val="0"/>
          <w:marTop w:val="134"/>
          <w:marBottom w:val="0"/>
          <w:divBdr>
            <w:top w:val="none" w:sz="0" w:space="0" w:color="auto"/>
            <w:left w:val="none" w:sz="0" w:space="0" w:color="auto"/>
            <w:bottom w:val="none" w:sz="0" w:space="0" w:color="auto"/>
            <w:right w:val="none" w:sz="0" w:space="0" w:color="auto"/>
          </w:divBdr>
        </w:div>
      </w:divsChild>
    </w:div>
    <w:div w:id="2036273375">
      <w:bodyDiv w:val="1"/>
      <w:marLeft w:val="0"/>
      <w:marRight w:val="0"/>
      <w:marTop w:val="0"/>
      <w:marBottom w:val="0"/>
      <w:divBdr>
        <w:top w:val="none" w:sz="0" w:space="0" w:color="auto"/>
        <w:left w:val="none" w:sz="0" w:space="0" w:color="auto"/>
        <w:bottom w:val="none" w:sz="0" w:space="0" w:color="auto"/>
        <w:right w:val="none" w:sz="0" w:space="0" w:color="auto"/>
      </w:divBdr>
    </w:div>
    <w:div w:id="2045476651">
      <w:bodyDiv w:val="1"/>
      <w:marLeft w:val="0"/>
      <w:marRight w:val="0"/>
      <w:marTop w:val="0"/>
      <w:marBottom w:val="0"/>
      <w:divBdr>
        <w:top w:val="none" w:sz="0" w:space="0" w:color="auto"/>
        <w:left w:val="none" w:sz="0" w:space="0" w:color="auto"/>
        <w:bottom w:val="none" w:sz="0" w:space="0" w:color="auto"/>
        <w:right w:val="none" w:sz="0" w:space="0" w:color="auto"/>
      </w:divBdr>
    </w:div>
    <w:div w:id="21134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Sara</dc:creator>
  <cp:keywords/>
  <dc:description/>
  <cp:lastModifiedBy>Ballard, Sara</cp:lastModifiedBy>
  <cp:revision>2</cp:revision>
  <cp:lastPrinted>2018-08-22T20:24:00Z</cp:lastPrinted>
  <dcterms:created xsi:type="dcterms:W3CDTF">2018-08-23T12:17:00Z</dcterms:created>
  <dcterms:modified xsi:type="dcterms:W3CDTF">2018-08-23T12:17:00Z</dcterms:modified>
</cp:coreProperties>
</file>